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9851" w14:textId="6A1B0939" w:rsidR="00480FD9" w:rsidRDefault="00480FD9" w:rsidP="00480FD9">
      <w:pPr>
        <w:spacing w:after="40"/>
        <w:rPr>
          <w:b/>
          <w:sz w:val="24"/>
        </w:rPr>
      </w:pPr>
      <w:r>
        <w:rPr>
          <w:b/>
          <w:sz w:val="24"/>
        </w:rPr>
        <w:tab/>
      </w:r>
      <w:r w:rsidR="00B11EC7">
        <w:rPr>
          <w:b/>
          <w:sz w:val="24"/>
        </w:rPr>
        <w:t xml:space="preserve">    2025 PREA Annual Report-Amarillo Transitional Treatment Center</w:t>
      </w:r>
    </w:p>
    <w:p w14:paraId="249DFBE2" w14:textId="4E0FF11E" w:rsidR="00080DB0" w:rsidRPr="006C765E" w:rsidRDefault="00080DB0" w:rsidP="00480FD9">
      <w:pPr>
        <w:spacing w:after="40"/>
        <w:rPr>
          <w:b/>
          <w:sz w:val="24"/>
        </w:rPr>
      </w:pPr>
      <w:r w:rsidRPr="006C765E">
        <w:rPr>
          <w:b/>
          <w:sz w:val="24"/>
        </w:rPr>
        <w:t>10-31-2025</w:t>
      </w:r>
    </w:p>
    <w:p w14:paraId="6F104316" w14:textId="3FD5AEB2" w:rsidR="00080DB0" w:rsidRDefault="00080DB0" w:rsidP="00480FD9">
      <w:pPr>
        <w:spacing w:after="40"/>
        <w:rPr>
          <w:bCs/>
          <w:sz w:val="24"/>
        </w:rPr>
      </w:pPr>
      <w:r>
        <w:rPr>
          <w:bCs/>
          <w:sz w:val="24"/>
        </w:rPr>
        <w:t xml:space="preserve">Amarillo Transitional Treatment Center is committed to meeting the requirements of PREA (2003) and enhancing safety and security for all residents we serve. </w:t>
      </w:r>
    </w:p>
    <w:p w14:paraId="2D6266DD" w14:textId="2D42EA33" w:rsidR="00080DB0" w:rsidRDefault="00080DB0" w:rsidP="00480FD9">
      <w:pPr>
        <w:spacing w:after="40"/>
        <w:rPr>
          <w:bCs/>
          <w:sz w:val="24"/>
        </w:rPr>
      </w:pPr>
      <w:r>
        <w:rPr>
          <w:bCs/>
          <w:sz w:val="24"/>
        </w:rPr>
        <w:t>The report summary documents the agency's PREA compliance by reviewing and assessing the collection and aggregation of 2025 data. The agency is committed to the effort to improve the effectiveness of sexual prevention, detection, responses, training, and continuously monitoring our daily operational processes and procedures toward continuous quality improvement.</w:t>
      </w:r>
    </w:p>
    <w:p w14:paraId="61074CC2" w14:textId="77777777" w:rsidR="000073F0" w:rsidRDefault="000073F0" w:rsidP="00480FD9">
      <w:pPr>
        <w:spacing w:after="40"/>
        <w:rPr>
          <w:b/>
          <w:sz w:val="24"/>
        </w:rPr>
      </w:pPr>
    </w:p>
    <w:p w14:paraId="1526217D" w14:textId="70188A0A" w:rsidR="00080DB0" w:rsidRDefault="00080DB0" w:rsidP="00480FD9">
      <w:pPr>
        <w:spacing w:after="40"/>
        <w:rPr>
          <w:b/>
          <w:sz w:val="24"/>
        </w:rPr>
      </w:pPr>
      <w:r>
        <w:rPr>
          <w:b/>
          <w:sz w:val="24"/>
        </w:rPr>
        <w:t>PURPOSE:</w:t>
      </w:r>
    </w:p>
    <w:p w14:paraId="23D47E90" w14:textId="77777777" w:rsidR="00412A7D" w:rsidRDefault="00080DB0" w:rsidP="00480FD9">
      <w:pPr>
        <w:spacing w:after="40"/>
        <w:rPr>
          <w:bCs/>
          <w:sz w:val="24"/>
        </w:rPr>
      </w:pPr>
      <w:r>
        <w:rPr>
          <w:bCs/>
          <w:sz w:val="24"/>
        </w:rPr>
        <w:t xml:space="preserve">The annual report is to assess and improve the effectiveness of sexual abuse prevention, detection, and response policies, processes, procedures, and training pursuant to 115.288 and 115.289 of the National OPRES Standards. </w:t>
      </w:r>
    </w:p>
    <w:p w14:paraId="5A2BE6C4" w14:textId="19C70F43" w:rsidR="00080DB0" w:rsidRDefault="00080DB0" w:rsidP="00480FD9">
      <w:pPr>
        <w:spacing w:after="40"/>
        <w:rPr>
          <w:bCs/>
          <w:sz w:val="24"/>
        </w:rPr>
      </w:pPr>
      <w:r>
        <w:rPr>
          <w:bCs/>
          <w:sz w:val="24"/>
        </w:rPr>
        <w:t>Therefore, the agency will maintain compliance</w:t>
      </w:r>
      <w:r w:rsidR="00412A7D">
        <w:rPr>
          <w:bCs/>
          <w:sz w:val="24"/>
        </w:rPr>
        <w:t xml:space="preserve"> by the following:</w:t>
      </w:r>
    </w:p>
    <w:p w14:paraId="38C8FD5B" w14:textId="17F87ABA" w:rsidR="00412A7D" w:rsidRDefault="00412A7D" w:rsidP="00412A7D">
      <w:pPr>
        <w:pStyle w:val="ListParagraph"/>
        <w:numPr>
          <w:ilvl w:val="0"/>
          <w:numId w:val="5"/>
        </w:numPr>
        <w:spacing w:after="40"/>
        <w:rPr>
          <w:bCs/>
          <w:sz w:val="24"/>
        </w:rPr>
      </w:pPr>
      <w:r>
        <w:rPr>
          <w:bCs/>
          <w:sz w:val="24"/>
        </w:rPr>
        <w:t>Review and aggregate as an annual review to assess and improve the effectiveness of sexual prevention, detection, response policies, procedures, and training</w:t>
      </w:r>
      <w:r w:rsidR="00C97824">
        <w:rPr>
          <w:bCs/>
          <w:sz w:val="24"/>
        </w:rPr>
        <w:t>,</w:t>
      </w:r>
      <w:r>
        <w:rPr>
          <w:bCs/>
          <w:sz w:val="24"/>
        </w:rPr>
        <w:t xml:space="preserve"> to include.</w:t>
      </w:r>
    </w:p>
    <w:p w14:paraId="51C482BB" w14:textId="54866BB9" w:rsidR="00412A7D" w:rsidRDefault="00412A7D" w:rsidP="00412A7D">
      <w:pPr>
        <w:pStyle w:val="ListParagraph"/>
        <w:numPr>
          <w:ilvl w:val="0"/>
          <w:numId w:val="6"/>
        </w:numPr>
        <w:spacing w:after="40"/>
        <w:rPr>
          <w:bCs/>
          <w:sz w:val="24"/>
        </w:rPr>
      </w:pPr>
      <w:r>
        <w:rPr>
          <w:bCs/>
          <w:sz w:val="24"/>
        </w:rPr>
        <w:t>Identify problem areas</w:t>
      </w:r>
    </w:p>
    <w:p w14:paraId="6F7A38C5" w14:textId="78CEFD5A" w:rsidR="00412A7D" w:rsidRDefault="00412A7D" w:rsidP="00412A7D">
      <w:pPr>
        <w:pStyle w:val="ListParagraph"/>
        <w:numPr>
          <w:ilvl w:val="0"/>
          <w:numId w:val="6"/>
        </w:numPr>
        <w:spacing w:after="40"/>
        <w:rPr>
          <w:bCs/>
          <w:sz w:val="24"/>
        </w:rPr>
      </w:pPr>
      <w:r>
        <w:rPr>
          <w:bCs/>
          <w:sz w:val="24"/>
        </w:rPr>
        <w:t>Take corrective action on an ongoing basis</w:t>
      </w:r>
    </w:p>
    <w:p w14:paraId="4D0EADAC" w14:textId="4CB8C1A3" w:rsidR="00412A7D" w:rsidRDefault="00412A7D" w:rsidP="00412A7D">
      <w:pPr>
        <w:pStyle w:val="ListParagraph"/>
        <w:numPr>
          <w:ilvl w:val="0"/>
          <w:numId w:val="6"/>
        </w:numPr>
        <w:spacing w:after="40"/>
        <w:rPr>
          <w:bCs/>
          <w:sz w:val="24"/>
        </w:rPr>
      </w:pPr>
      <w:r>
        <w:rPr>
          <w:bCs/>
          <w:sz w:val="24"/>
        </w:rPr>
        <w:t xml:space="preserve">Prepare an </w:t>
      </w:r>
      <w:r w:rsidR="00C97824">
        <w:rPr>
          <w:bCs/>
          <w:sz w:val="24"/>
        </w:rPr>
        <w:t>annual</w:t>
      </w:r>
      <w:r>
        <w:rPr>
          <w:bCs/>
          <w:sz w:val="24"/>
        </w:rPr>
        <w:t xml:space="preserve"> report </w:t>
      </w:r>
      <w:r w:rsidR="00C97824">
        <w:rPr>
          <w:bCs/>
          <w:sz w:val="24"/>
        </w:rPr>
        <w:t>on</w:t>
      </w:r>
      <w:r>
        <w:rPr>
          <w:bCs/>
          <w:sz w:val="24"/>
        </w:rPr>
        <w:t xml:space="preserve"> the findings</w:t>
      </w:r>
    </w:p>
    <w:p w14:paraId="6141DFC1" w14:textId="3031D1FD" w:rsidR="00C97824" w:rsidRDefault="00C97824" w:rsidP="00C97824">
      <w:pPr>
        <w:pStyle w:val="ListParagraph"/>
        <w:numPr>
          <w:ilvl w:val="0"/>
          <w:numId w:val="5"/>
        </w:numPr>
        <w:spacing w:after="40"/>
        <w:rPr>
          <w:bCs/>
          <w:sz w:val="24"/>
        </w:rPr>
      </w:pPr>
      <w:r>
        <w:rPr>
          <w:bCs/>
          <w:sz w:val="24"/>
        </w:rPr>
        <w:t xml:space="preserve">Compare current year data and corrective actions from prior </w:t>
      </w:r>
      <w:r w:rsidR="00F002AF">
        <w:rPr>
          <w:bCs/>
          <w:sz w:val="24"/>
        </w:rPr>
        <w:t>years and</w:t>
      </w:r>
      <w:r>
        <w:rPr>
          <w:bCs/>
          <w:sz w:val="24"/>
        </w:rPr>
        <w:t xml:space="preserve"> then provide an assessment of the progress achieved in addressing sexual abuse and harassment.</w:t>
      </w:r>
    </w:p>
    <w:p w14:paraId="5D37FEB6" w14:textId="328241C7" w:rsidR="00C97824" w:rsidRPr="00C97824" w:rsidRDefault="00C97824" w:rsidP="00C97824">
      <w:pPr>
        <w:pStyle w:val="ListParagraph"/>
        <w:numPr>
          <w:ilvl w:val="0"/>
          <w:numId w:val="5"/>
        </w:numPr>
        <w:spacing w:after="40"/>
        <w:rPr>
          <w:bCs/>
          <w:sz w:val="24"/>
        </w:rPr>
      </w:pPr>
      <w:r>
        <w:rPr>
          <w:bCs/>
          <w:sz w:val="24"/>
        </w:rPr>
        <w:t xml:space="preserve">Publish an annual report on the agency website at </w:t>
      </w:r>
      <w:r w:rsidR="000073F0">
        <w:rPr>
          <w:bCs/>
          <w:sz w:val="24"/>
        </w:rPr>
        <w:t>https://</w:t>
      </w:r>
      <w:hyperlink r:id="rId7" w:history="1">
        <w:r w:rsidR="000073F0" w:rsidRPr="007B1A10">
          <w:rPr>
            <w:rStyle w:val="Hyperlink"/>
            <w:bCs/>
            <w:sz w:val="24"/>
          </w:rPr>
          <w:t>www.serenitycenter.org</w:t>
        </w:r>
      </w:hyperlink>
      <w:r>
        <w:rPr>
          <w:bCs/>
          <w:sz w:val="24"/>
        </w:rPr>
        <w:t xml:space="preserve"> of the 2025 and previous </w:t>
      </w:r>
      <w:r w:rsidR="000073F0">
        <w:rPr>
          <w:bCs/>
          <w:sz w:val="24"/>
        </w:rPr>
        <w:t>year’s</w:t>
      </w:r>
      <w:r>
        <w:rPr>
          <w:bCs/>
          <w:sz w:val="24"/>
        </w:rPr>
        <w:t xml:space="preserve"> findings and corrective actions.</w:t>
      </w:r>
    </w:p>
    <w:p w14:paraId="6305892C" w14:textId="2935B152" w:rsidR="00080DB0" w:rsidRDefault="000073F0" w:rsidP="00480FD9">
      <w:pPr>
        <w:spacing w:after="40"/>
        <w:rPr>
          <w:b/>
          <w:sz w:val="24"/>
        </w:rPr>
      </w:pPr>
      <w:r>
        <w:rPr>
          <w:b/>
          <w:sz w:val="24"/>
        </w:rPr>
        <w:t>AGGREGATED DATA</w:t>
      </w:r>
    </w:p>
    <w:p w14:paraId="33094EA5" w14:textId="640F97D7" w:rsidR="000073F0" w:rsidRDefault="000073F0" w:rsidP="00480FD9">
      <w:pPr>
        <w:spacing w:after="40"/>
        <w:rPr>
          <w:bCs/>
          <w:sz w:val="24"/>
        </w:rPr>
      </w:pPr>
      <w:r w:rsidRPr="000073F0">
        <w:rPr>
          <w:bCs/>
          <w:sz w:val="24"/>
        </w:rPr>
        <w:t xml:space="preserve">The agency maintains, reviews, and collects data </w:t>
      </w:r>
      <w:r>
        <w:rPr>
          <w:bCs/>
          <w:sz w:val="24"/>
        </w:rPr>
        <w:t>from</w:t>
      </w:r>
      <w:r w:rsidRPr="000073F0">
        <w:rPr>
          <w:bCs/>
          <w:sz w:val="24"/>
        </w:rPr>
        <w:t xml:space="preserve"> all incidents</w:t>
      </w:r>
      <w:r>
        <w:rPr>
          <w:bCs/>
          <w:sz w:val="24"/>
        </w:rPr>
        <w:t xml:space="preserve"> based on documents, reports, investigations, sexual abuse, and sexual harassment. The reports are for client-to-client and staff-to-client. The data is based on the 2025 calendar year.</w:t>
      </w:r>
    </w:p>
    <w:p w14:paraId="5ECA78FC" w14:textId="189051ED" w:rsidR="00F002AF" w:rsidRDefault="000073F0" w:rsidP="00480FD9">
      <w:pPr>
        <w:spacing w:after="40"/>
        <w:rPr>
          <w:bCs/>
          <w:sz w:val="24"/>
        </w:rPr>
      </w:pPr>
      <w:r>
        <w:rPr>
          <w:bCs/>
          <w:sz w:val="24"/>
        </w:rPr>
        <w:t>The data below represent a compilation of the incidents, allegations, and investigations of sexual assault and sexual harassment at the Amarillo Transitional Treatment Center.</w:t>
      </w:r>
    </w:p>
    <w:p w14:paraId="64C047ED" w14:textId="77777777" w:rsidR="00F002AF" w:rsidRDefault="00F002AF" w:rsidP="00480FD9">
      <w:pPr>
        <w:spacing w:after="40"/>
        <w:rPr>
          <w:bCs/>
          <w:sz w:val="24"/>
        </w:rPr>
      </w:pPr>
    </w:p>
    <w:p w14:paraId="1ADEA560" w14:textId="6A2DF990" w:rsidR="000073F0" w:rsidRPr="00F002AF" w:rsidRDefault="000073F0" w:rsidP="00480FD9">
      <w:pPr>
        <w:spacing w:after="40"/>
        <w:rPr>
          <w:b/>
          <w:sz w:val="24"/>
        </w:rPr>
      </w:pPr>
      <w:r w:rsidRPr="00F002AF">
        <w:rPr>
          <w:b/>
          <w:sz w:val="24"/>
        </w:rPr>
        <w:t xml:space="preserve">PREA Reports  Substantiated  </w:t>
      </w:r>
      <w:r w:rsidR="00F002AF">
        <w:rPr>
          <w:b/>
          <w:sz w:val="24"/>
        </w:rPr>
        <w:t xml:space="preserve"> </w:t>
      </w:r>
      <w:r w:rsidRPr="00F002AF">
        <w:rPr>
          <w:b/>
          <w:sz w:val="24"/>
        </w:rPr>
        <w:t xml:space="preserve">Unsubstantiated   </w:t>
      </w:r>
      <w:r w:rsidR="00F002AF">
        <w:rPr>
          <w:b/>
          <w:sz w:val="24"/>
        </w:rPr>
        <w:t xml:space="preserve">  </w:t>
      </w:r>
      <w:r w:rsidRPr="00F002AF">
        <w:rPr>
          <w:b/>
          <w:sz w:val="24"/>
        </w:rPr>
        <w:t xml:space="preserve"> Unfounded</w:t>
      </w:r>
      <w:r w:rsidR="00F002AF">
        <w:rPr>
          <w:b/>
          <w:sz w:val="24"/>
        </w:rPr>
        <w:t xml:space="preserve">     On-Going Investigation</w:t>
      </w:r>
    </w:p>
    <w:tbl>
      <w:tblPr>
        <w:tblStyle w:val="TableGrid"/>
        <w:tblW w:w="9355" w:type="dxa"/>
        <w:tblLook w:val="04A0" w:firstRow="1" w:lastRow="0" w:firstColumn="1" w:lastColumn="0" w:noHBand="0" w:noVBand="1"/>
      </w:tblPr>
      <w:tblGrid>
        <w:gridCol w:w="1615"/>
        <w:gridCol w:w="1530"/>
        <w:gridCol w:w="1980"/>
        <w:gridCol w:w="1530"/>
        <w:gridCol w:w="2700"/>
      </w:tblGrid>
      <w:tr w:rsidR="000073F0" w14:paraId="0D511B19" w14:textId="77777777" w:rsidTr="00F002AF">
        <w:tc>
          <w:tcPr>
            <w:tcW w:w="1615" w:type="dxa"/>
          </w:tcPr>
          <w:p w14:paraId="519E0D53" w14:textId="49DA07D4" w:rsidR="000073F0" w:rsidRPr="00F002AF" w:rsidRDefault="00F002AF" w:rsidP="00480FD9">
            <w:pPr>
              <w:spacing w:after="40"/>
              <w:rPr>
                <w:bCs/>
              </w:rPr>
            </w:pPr>
            <w:r>
              <w:rPr>
                <w:bCs/>
              </w:rPr>
              <w:t>Resident Sexual Abuse</w:t>
            </w:r>
          </w:p>
        </w:tc>
        <w:tc>
          <w:tcPr>
            <w:tcW w:w="1530" w:type="dxa"/>
          </w:tcPr>
          <w:p w14:paraId="377207A3" w14:textId="6D3E8D28" w:rsidR="000073F0" w:rsidRDefault="00F002AF" w:rsidP="00480FD9">
            <w:pPr>
              <w:spacing w:after="40"/>
              <w:rPr>
                <w:bCs/>
                <w:sz w:val="24"/>
              </w:rPr>
            </w:pPr>
            <w:r>
              <w:rPr>
                <w:bCs/>
                <w:sz w:val="24"/>
              </w:rPr>
              <w:t>0</w:t>
            </w:r>
          </w:p>
        </w:tc>
        <w:tc>
          <w:tcPr>
            <w:tcW w:w="1980" w:type="dxa"/>
          </w:tcPr>
          <w:p w14:paraId="2C9BD3EE" w14:textId="13BA2C46" w:rsidR="000073F0" w:rsidRDefault="00F002AF" w:rsidP="00480FD9">
            <w:pPr>
              <w:spacing w:after="40"/>
              <w:rPr>
                <w:bCs/>
                <w:sz w:val="24"/>
              </w:rPr>
            </w:pPr>
            <w:r>
              <w:rPr>
                <w:bCs/>
                <w:sz w:val="24"/>
              </w:rPr>
              <w:t>0</w:t>
            </w:r>
          </w:p>
        </w:tc>
        <w:tc>
          <w:tcPr>
            <w:tcW w:w="1530" w:type="dxa"/>
          </w:tcPr>
          <w:p w14:paraId="711E1186" w14:textId="00CBF9DC" w:rsidR="000073F0" w:rsidRDefault="00F002AF" w:rsidP="00480FD9">
            <w:pPr>
              <w:spacing w:after="40"/>
              <w:rPr>
                <w:bCs/>
                <w:sz w:val="24"/>
              </w:rPr>
            </w:pPr>
            <w:r>
              <w:rPr>
                <w:bCs/>
                <w:sz w:val="24"/>
              </w:rPr>
              <w:t>0</w:t>
            </w:r>
          </w:p>
        </w:tc>
        <w:tc>
          <w:tcPr>
            <w:tcW w:w="2700" w:type="dxa"/>
          </w:tcPr>
          <w:p w14:paraId="054B440D" w14:textId="2C3D19A8" w:rsidR="000073F0" w:rsidRDefault="00F002AF" w:rsidP="00480FD9">
            <w:pPr>
              <w:spacing w:after="40"/>
              <w:rPr>
                <w:bCs/>
                <w:sz w:val="24"/>
              </w:rPr>
            </w:pPr>
            <w:r>
              <w:rPr>
                <w:bCs/>
                <w:sz w:val="24"/>
              </w:rPr>
              <w:t>0</w:t>
            </w:r>
          </w:p>
        </w:tc>
      </w:tr>
      <w:tr w:rsidR="000073F0" w14:paraId="23F2FDE9" w14:textId="77777777" w:rsidTr="00F002AF">
        <w:trPr>
          <w:trHeight w:val="611"/>
        </w:trPr>
        <w:tc>
          <w:tcPr>
            <w:tcW w:w="1615" w:type="dxa"/>
          </w:tcPr>
          <w:p w14:paraId="57708713" w14:textId="2F49598D" w:rsidR="000073F0" w:rsidRPr="00F002AF" w:rsidRDefault="00F002AF" w:rsidP="00480FD9">
            <w:pPr>
              <w:spacing w:after="40"/>
              <w:rPr>
                <w:bCs/>
              </w:rPr>
            </w:pPr>
            <w:r w:rsidRPr="00F002AF">
              <w:rPr>
                <w:bCs/>
              </w:rPr>
              <w:t xml:space="preserve">Resident Sexual </w:t>
            </w:r>
            <w:r>
              <w:rPr>
                <w:bCs/>
              </w:rPr>
              <w:t>Harassment</w:t>
            </w:r>
          </w:p>
          <w:p w14:paraId="7B893617" w14:textId="6D70D65D" w:rsidR="00F002AF" w:rsidRDefault="00F002AF" w:rsidP="00480FD9">
            <w:pPr>
              <w:spacing w:after="40"/>
              <w:rPr>
                <w:bCs/>
                <w:sz w:val="24"/>
              </w:rPr>
            </w:pPr>
          </w:p>
        </w:tc>
        <w:tc>
          <w:tcPr>
            <w:tcW w:w="1530" w:type="dxa"/>
          </w:tcPr>
          <w:p w14:paraId="59ED1068" w14:textId="3F0E065E" w:rsidR="000073F0" w:rsidRDefault="00F002AF" w:rsidP="00480FD9">
            <w:pPr>
              <w:spacing w:after="40"/>
              <w:rPr>
                <w:bCs/>
                <w:sz w:val="24"/>
              </w:rPr>
            </w:pPr>
            <w:r>
              <w:rPr>
                <w:bCs/>
                <w:sz w:val="24"/>
              </w:rPr>
              <w:t>0</w:t>
            </w:r>
          </w:p>
        </w:tc>
        <w:tc>
          <w:tcPr>
            <w:tcW w:w="1980" w:type="dxa"/>
          </w:tcPr>
          <w:p w14:paraId="769B4FF4" w14:textId="18171C4E" w:rsidR="000073F0" w:rsidRDefault="00F002AF" w:rsidP="00480FD9">
            <w:pPr>
              <w:spacing w:after="40"/>
              <w:rPr>
                <w:bCs/>
                <w:sz w:val="24"/>
              </w:rPr>
            </w:pPr>
            <w:r>
              <w:rPr>
                <w:bCs/>
                <w:sz w:val="24"/>
              </w:rPr>
              <w:t>0</w:t>
            </w:r>
          </w:p>
        </w:tc>
        <w:tc>
          <w:tcPr>
            <w:tcW w:w="1530" w:type="dxa"/>
          </w:tcPr>
          <w:p w14:paraId="3F572C3E" w14:textId="49A59787" w:rsidR="000073F0" w:rsidRDefault="00F002AF" w:rsidP="00480FD9">
            <w:pPr>
              <w:spacing w:after="40"/>
              <w:rPr>
                <w:bCs/>
                <w:sz w:val="24"/>
              </w:rPr>
            </w:pPr>
            <w:r>
              <w:rPr>
                <w:bCs/>
                <w:sz w:val="24"/>
              </w:rPr>
              <w:t>0</w:t>
            </w:r>
          </w:p>
        </w:tc>
        <w:tc>
          <w:tcPr>
            <w:tcW w:w="2700" w:type="dxa"/>
          </w:tcPr>
          <w:p w14:paraId="120C400E" w14:textId="70B302E9" w:rsidR="000073F0" w:rsidRDefault="00F002AF" w:rsidP="00480FD9">
            <w:pPr>
              <w:spacing w:after="40"/>
              <w:rPr>
                <w:bCs/>
                <w:sz w:val="24"/>
              </w:rPr>
            </w:pPr>
            <w:r>
              <w:rPr>
                <w:bCs/>
                <w:sz w:val="24"/>
              </w:rPr>
              <w:t>0</w:t>
            </w:r>
          </w:p>
        </w:tc>
      </w:tr>
      <w:tr w:rsidR="000073F0" w14:paraId="173D36B7" w14:textId="77777777" w:rsidTr="00F002AF">
        <w:tc>
          <w:tcPr>
            <w:tcW w:w="1615" w:type="dxa"/>
          </w:tcPr>
          <w:p w14:paraId="3C039EF3" w14:textId="21819B84" w:rsidR="000073F0" w:rsidRPr="00F002AF" w:rsidRDefault="00F002AF" w:rsidP="00480FD9">
            <w:pPr>
              <w:spacing w:after="40"/>
              <w:rPr>
                <w:bCs/>
              </w:rPr>
            </w:pPr>
            <w:r w:rsidRPr="00F002AF">
              <w:rPr>
                <w:bCs/>
              </w:rPr>
              <w:t>Staff on Resident Sexual Abuse</w:t>
            </w:r>
          </w:p>
        </w:tc>
        <w:tc>
          <w:tcPr>
            <w:tcW w:w="1530" w:type="dxa"/>
          </w:tcPr>
          <w:p w14:paraId="71F598CE" w14:textId="6A120E84" w:rsidR="000073F0" w:rsidRDefault="00F002AF" w:rsidP="00480FD9">
            <w:pPr>
              <w:spacing w:after="40"/>
              <w:rPr>
                <w:bCs/>
                <w:sz w:val="24"/>
              </w:rPr>
            </w:pPr>
            <w:r>
              <w:rPr>
                <w:bCs/>
                <w:sz w:val="24"/>
              </w:rPr>
              <w:t>0</w:t>
            </w:r>
          </w:p>
        </w:tc>
        <w:tc>
          <w:tcPr>
            <w:tcW w:w="1980" w:type="dxa"/>
          </w:tcPr>
          <w:p w14:paraId="75F41071" w14:textId="51C3C3EE" w:rsidR="000073F0" w:rsidRDefault="00F002AF" w:rsidP="00480FD9">
            <w:pPr>
              <w:spacing w:after="40"/>
              <w:rPr>
                <w:bCs/>
                <w:sz w:val="24"/>
              </w:rPr>
            </w:pPr>
            <w:r>
              <w:rPr>
                <w:bCs/>
                <w:sz w:val="24"/>
              </w:rPr>
              <w:t>0</w:t>
            </w:r>
          </w:p>
        </w:tc>
        <w:tc>
          <w:tcPr>
            <w:tcW w:w="1530" w:type="dxa"/>
          </w:tcPr>
          <w:p w14:paraId="2F27B7C3" w14:textId="5E406377" w:rsidR="000073F0" w:rsidRDefault="00F002AF" w:rsidP="00480FD9">
            <w:pPr>
              <w:spacing w:after="40"/>
              <w:rPr>
                <w:bCs/>
                <w:sz w:val="24"/>
              </w:rPr>
            </w:pPr>
            <w:r>
              <w:rPr>
                <w:bCs/>
                <w:sz w:val="24"/>
              </w:rPr>
              <w:t>0</w:t>
            </w:r>
          </w:p>
        </w:tc>
        <w:tc>
          <w:tcPr>
            <w:tcW w:w="2700" w:type="dxa"/>
          </w:tcPr>
          <w:p w14:paraId="19ED9360" w14:textId="6734BC8C" w:rsidR="000073F0" w:rsidRDefault="00F002AF" w:rsidP="00480FD9">
            <w:pPr>
              <w:spacing w:after="40"/>
              <w:rPr>
                <w:bCs/>
                <w:sz w:val="24"/>
              </w:rPr>
            </w:pPr>
            <w:r>
              <w:rPr>
                <w:bCs/>
                <w:sz w:val="24"/>
              </w:rPr>
              <w:t>0</w:t>
            </w:r>
          </w:p>
        </w:tc>
      </w:tr>
      <w:tr w:rsidR="000073F0" w14:paraId="42CD8D43" w14:textId="77777777" w:rsidTr="00F002AF">
        <w:tc>
          <w:tcPr>
            <w:tcW w:w="1615" w:type="dxa"/>
          </w:tcPr>
          <w:p w14:paraId="2268D57C" w14:textId="333778AF" w:rsidR="000073F0" w:rsidRPr="00F002AF" w:rsidRDefault="00F002AF" w:rsidP="00480FD9">
            <w:pPr>
              <w:spacing w:after="40"/>
              <w:rPr>
                <w:bCs/>
              </w:rPr>
            </w:pPr>
            <w:r w:rsidRPr="00F002AF">
              <w:rPr>
                <w:bCs/>
              </w:rPr>
              <w:t xml:space="preserve">Staff on Resident Sexual </w:t>
            </w:r>
            <w:r>
              <w:rPr>
                <w:bCs/>
              </w:rPr>
              <w:t>Harassment</w:t>
            </w:r>
          </w:p>
        </w:tc>
        <w:tc>
          <w:tcPr>
            <w:tcW w:w="1530" w:type="dxa"/>
          </w:tcPr>
          <w:p w14:paraId="2AD2C912" w14:textId="6D322B69" w:rsidR="000073F0" w:rsidRDefault="00F002AF" w:rsidP="00480FD9">
            <w:pPr>
              <w:spacing w:after="40"/>
              <w:rPr>
                <w:bCs/>
                <w:sz w:val="24"/>
              </w:rPr>
            </w:pPr>
            <w:r>
              <w:rPr>
                <w:bCs/>
                <w:sz w:val="24"/>
              </w:rPr>
              <w:t>0</w:t>
            </w:r>
          </w:p>
        </w:tc>
        <w:tc>
          <w:tcPr>
            <w:tcW w:w="1980" w:type="dxa"/>
          </w:tcPr>
          <w:p w14:paraId="737874E7" w14:textId="38B85235" w:rsidR="000073F0" w:rsidRDefault="00F002AF" w:rsidP="00480FD9">
            <w:pPr>
              <w:spacing w:after="40"/>
              <w:rPr>
                <w:bCs/>
                <w:sz w:val="24"/>
              </w:rPr>
            </w:pPr>
            <w:r>
              <w:rPr>
                <w:bCs/>
                <w:sz w:val="24"/>
              </w:rPr>
              <w:t>0</w:t>
            </w:r>
          </w:p>
        </w:tc>
        <w:tc>
          <w:tcPr>
            <w:tcW w:w="1530" w:type="dxa"/>
          </w:tcPr>
          <w:p w14:paraId="6F29B90D" w14:textId="123686DC" w:rsidR="000073F0" w:rsidRDefault="00F002AF" w:rsidP="00480FD9">
            <w:pPr>
              <w:spacing w:after="40"/>
              <w:rPr>
                <w:bCs/>
                <w:sz w:val="24"/>
              </w:rPr>
            </w:pPr>
            <w:r>
              <w:rPr>
                <w:bCs/>
                <w:sz w:val="24"/>
              </w:rPr>
              <w:t>0</w:t>
            </w:r>
          </w:p>
        </w:tc>
        <w:tc>
          <w:tcPr>
            <w:tcW w:w="2700" w:type="dxa"/>
          </w:tcPr>
          <w:p w14:paraId="666A4132" w14:textId="50E063F6" w:rsidR="000073F0" w:rsidRDefault="00F002AF" w:rsidP="00480FD9">
            <w:pPr>
              <w:spacing w:after="40"/>
              <w:rPr>
                <w:bCs/>
                <w:sz w:val="24"/>
              </w:rPr>
            </w:pPr>
            <w:r>
              <w:rPr>
                <w:bCs/>
                <w:sz w:val="24"/>
              </w:rPr>
              <w:t>0</w:t>
            </w:r>
          </w:p>
        </w:tc>
      </w:tr>
      <w:tr w:rsidR="000073F0" w14:paraId="5E2A7E88" w14:textId="77777777" w:rsidTr="00F002AF">
        <w:tc>
          <w:tcPr>
            <w:tcW w:w="1615" w:type="dxa"/>
          </w:tcPr>
          <w:p w14:paraId="62B10952" w14:textId="373AFE67" w:rsidR="000073F0" w:rsidRPr="00F002AF" w:rsidRDefault="00F002AF" w:rsidP="00480FD9">
            <w:pPr>
              <w:spacing w:after="40"/>
              <w:rPr>
                <w:b/>
              </w:rPr>
            </w:pPr>
            <w:r w:rsidRPr="00F002AF">
              <w:rPr>
                <w:b/>
              </w:rPr>
              <w:t>Total</w:t>
            </w:r>
          </w:p>
        </w:tc>
        <w:tc>
          <w:tcPr>
            <w:tcW w:w="1530" w:type="dxa"/>
          </w:tcPr>
          <w:p w14:paraId="3CBF81A8" w14:textId="4B67BD7E" w:rsidR="000073F0" w:rsidRDefault="00F002AF" w:rsidP="00480FD9">
            <w:pPr>
              <w:spacing w:after="40"/>
              <w:rPr>
                <w:bCs/>
                <w:sz w:val="24"/>
              </w:rPr>
            </w:pPr>
            <w:r>
              <w:rPr>
                <w:bCs/>
                <w:sz w:val="24"/>
              </w:rPr>
              <w:t>0</w:t>
            </w:r>
          </w:p>
        </w:tc>
        <w:tc>
          <w:tcPr>
            <w:tcW w:w="1980" w:type="dxa"/>
          </w:tcPr>
          <w:p w14:paraId="19DDCEF8" w14:textId="65DD5E8B" w:rsidR="000073F0" w:rsidRDefault="00F002AF" w:rsidP="00480FD9">
            <w:pPr>
              <w:spacing w:after="40"/>
              <w:rPr>
                <w:bCs/>
                <w:sz w:val="24"/>
              </w:rPr>
            </w:pPr>
            <w:r>
              <w:rPr>
                <w:bCs/>
                <w:sz w:val="24"/>
              </w:rPr>
              <w:t>0</w:t>
            </w:r>
          </w:p>
        </w:tc>
        <w:tc>
          <w:tcPr>
            <w:tcW w:w="1530" w:type="dxa"/>
          </w:tcPr>
          <w:p w14:paraId="6D59B7C3" w14:textId="7880D72E" w:rsidR="000073F0" w:rsidRDefault="00F002AF" w:rsidP="00480FD9">
            <w:pPr>
              <w:spacing w:after="40"/>
              <w:rPr>
                <w:bCs/>
                <w:sz w:val="24"/>
              </w:rPr>
            </w:pPr>
            <w:r>
              <w:rPr>
                <w:bCs/>
                <w:sz w:val="24"/>
              </w:rPr>
              <w:t>0</w:t>
            </w:r>
          </w:p>
        </w:tc>
        <w:tc>
          <w:tcPr>
            <w:tcW w:w="2700" w:type="dxa"/>
          </w:tcPr>
          <w:p w14:paraId="51CB2EF2" w14:textId="01CBF401" w:rsidR="000073F0" w:rsidRDefault="00F002AF" w:rsidP="00480FD9">
            <w:pPr>
              <w:spacing w:after="40"/>
              <w:rPr>
                <w:bCs/>
                <w:sz w:val="24"/>
              </w:rPr>
            </w:pPr>
            <w:r>
              <w:rPr>
                <w:bCs/>
                <w:sz w:val="24"/>
              </w:rPr>
              <w:t>0</w:t>
            </w:r>
          </w:p>
        </w:tc>
      </w:tr>
    </w:tbl>
    <w:p w14:paraId="61305C31" w14:textId="77777777" w:rsidR="006C765E" w:rsidRDefault="006C765E" w:rsidP="00480FD9">
      <w:pPr>
        <w:spacing w:after="40"/>
        <w:rPr>
          <w:b/>
          <w:sz w:val="24"/>
        </w:rPr>
      </w:pPr>
    </w:p>
    <w:p w14:paraId="17A56E41" w14:textId="77777777" w:rsidR="006C765E" w:rsidRDefault="006C765E" w:rsidP="00480FD9">
      <w:pPr>
        <w:spacing w:after="40"/>
        <w:rPr>
          <w:b/>
          <w:sz w:val="24"/>
        </w:rPr>
      </w:pPr>
    </w:p>
    <w:p w14:paraId="0C056FCF" w14:textId="77777777" w:rsidR="006C765E" w:rsidRDefault="006C765E" w:rsidP="00480FD9">
      <w:pPr>
        <w:spacing w:after="40"/>
        <w:rPr>
          <w:b/>
          <w:sz w:val="24"/>
        </w:rPr>
      </w:pPr>
    </w:p>
    <w:p w14:paraId="4C6B6898" w14:textId="408366A4" w:rsidR="000073F0" w:rsidRPr="0030122B" w:rsidRDefault="00F002AF" w:rsidP="00480FD9">
      <w:pPr>
        <w:spacing w:after="40"/>
        <w:rPr>
          <w:b/>
          <w:sz w:val="24"/>
        </w:rPr>
      </w:pPr>
      <w:r w:rsidRPr="0030122B">
        <w:rPr>
          <w:b/>
          <w:sz w:val="24"/>
        </w:rPr>
        <w:t>Problem</w:t>
      </w:r>
      <w:r w:rsidR="0030122B" w:rsidRPr="0030122B">
        <w:rPr>
          <w:b/>
          <w:sz w:val="24"/>
        </w:rPr>
        <w:t>s Identified and Corrective Action Taken:</w:t>
      </w:r>
    </w:p>
    <w:p w14:paraId="5087EE5F" w14:textId="29A9ADC1" w:rsidR="0030122B" w:rsidRDefault="0030122B" w:rsidP="00480FD9">
      <w:pPr>
        <w:spacing w:after="40"/>
        <w:rPr>
          <w:bCs/>
          <w:sz w:val="24"/>
        </w:rPr>
      </w:pPr>
      <w:r w:rsidRPr="0030122B">
        <w:rPr>
          <w:bCs/>
          <w:sz w:val="24"/>
        </w:rPr>
        <w:t xml:space="preserve">Areas identified </w:t>
      </w:r>
      <w:r>
        <w:rPr>
          <w:bCs/>
          <w:sz w:val="24"/>
        </w:rPr>
        <w:t xml:space="preserve">are to continue close monitoring through cameras and direct </w:t>
      </w:r>
      <w:r w:rsidR="006C765E">
        <w:rPr>
          <w:bCs/>
          <w:sz w:val="24"/>
        </w:rPr>
        <w:t>supervision and</w:t>
      </w:r>
      <w:r>
        <w:rPr>
          <w:bCs/>
          <w:sz w:val="24"/>
        </w:rPr>
        <w:t xml:space="preserve"> ensure that all informational posters in English and Spanish are maintained in good condition. Always ensure that new arrival orientation includes information about resources and PREA training for new residents, including referral sources and emergency contact numbers, and that this information is posted by each phone in the dorms. The agency has added a phone that directly dials Texas PREA when a resident wishes to make a report anonymously or in any way they choose.</w:t>
      </w:r>
    </w:p>
    <w:p w14:paraId="43E51C5B" w14:textId="5D129C34" w:rsidR="0030122B" w:rsidRDefault="0030122B" w:rsidP="00480FD9">
      <w:pPr>
        <w:spacing w:after="40"/>
        <w:rPr>
          <w:bCs/>
          <w:sz w:val="24"/>
        </w:rPr>
      </w:pPr>
      <w:r>
        <w:rPr>
          <w:bCs/>
          <w:sz w:val="24"/>
        </w:rPr>
        <w:t>Closed-circuit cameras are monitored, and weekly staff meetings are held to discuss concerns and need repairs at the facility, including the camera system.</w:t>
      </w:r>
    </w:p>
    <w:p w14:paraId="4A0819CF" w14:textId="2BB997EF" w:rsidR="00C8742C" w:rsidRDefault="00C8742C" w:rsidP="00480FD9">
      <w:pPr>
        <w:spacing w:after="40"/>
        <w:rPr>
          <w:bCs/>
          <w:sz w:val="24"/>
        </w:rPr>
      </w:pPr>
      <w:r w:rsidRPr="006C765E">
        <w:rPr>
          <w:b/>
          <w:sz w:val="24"/>
        </w:rPr>
        <w:t>On 10-31-2025, during the annual review</w:t>
      </w:r>
      <w:r>
        <w:rPr>
          <w:bCs/>
          <w:sz w:val="24"/>
        </w:rPr>
        <w:t xml:space="preserve"> for the agency. The physical plant layout at the facility, including camera locations, composition of the client population, and review of the incidents and any other relevant factors, was reviewed and assessed to ensure the development and documentation of a staffing plan that ensured adequate levels of staffing and video monitoring of the residents against sexual assault and harassment.</w:t>
      </w:r>
    </w:p>
    <w:p w14:paraId="37B2B763" w14:textId="34D2E445" w:rsidR="00C8742C" w:rsidRDefault="00C8742C" w:rsidP="00480FD9">
      <w:pPr>
        <w:spacing w:after="40"/>
        <w:rPr>
          <w:bCs/>
          <w:sz w:val="24"/>
        </w:rPr>
      </w:pPr>
      <w:r>
        <w:rPr>
          <w:bCs/>
          <w:sz w:val="24"/>
        </w:rPr>
        <w:t>The annual review indicated that staffing levels and monitoring equipment appear to be sufficient to monitor, detect, and prevent sexual abuse and harassment.</w:t>
      </w:r>
    </w:p>
    <w:p w14:paraId="28E079D5" w14:textId="77777777" w:rsidR="00C8742C" w:rsidRDefault="00C8742C" w:rsidP="00480FD9">
      <w:pPr>
        <w:spacing w:after="40"/>
        <w:rPr>
          <w:bCs/>
          <w:sz w:val="24"/>
        </w:rPr>
      </w:pPr>
    </w:p>
    <w:p w14:paraId="397355D5" w14:textId="77777777" w:rsidR="006C765E" w:rsidRDefault="006C765E" w:rsidP="00480FD9">
      <w:pPr>
        <w:spacing w:after="40"/>
        <w:rPr>
          <w:b/>
          <w:sz w:val="24"/>
        </w:rPr>
      </w:pPr>
    </w:p>
    <w:p w14:paraId="37FB5A26" w14:textId="479EFD97" w:rsidR="00C8742C" w:rsidRDefault="00C8742C" w:rsidP="00480FD9">
      <w:pPr>
        <w:spacing w:after="40"/>
        <w:rPr>
          <w:b/>
          <w:sz w:val="24"/>
        </w:rPr>
      </w:pPr>
      <w:r>
        <w:rPr>
          <w:b/>
          <w:sz w:val="24"/>
        </w:rPr>
        <w:t>Continued Need to enhance compliance:</w:t>
      </w:r>
    </w:p>
    <w:p w14:paraId="2BEE9E3F" w14:textId="69F60356" w:rsidR="00C8742C" w:rsidRDefault="00C8742C" w:rsidP="00480FD9">
      <w:pPr>
        <w:spacing w:after="40"/>
        <w:rPr>
          <w:bCs/>
          <w:sz w:val="24"/>
        </w:rPr>
      </w:pPr>
      <w:r>
        <w:rPr>
          <w:bCs/>
          <w:sz w:val="24"/>
        </w:rPr>
        <w:t>Annual PREA training and when an incident occurs, provide training to see how staff can detect and prevent sexual abuse and harassment. Ensure all staff understand zero tolerance of sexual abuse and sexual harassment before working with residents.</w:t>
      </w:r>
    </w:p>
    <w:p w14:paraId="19BB25F5" w14:textId="77777777" w:rsidR="006C765E" w:rsidRDefault="006C765E" w:rsidP="00480FD9">
      <w:pPr>
        <w:spacing w:after="40"/>
        <w:rPr>
          <w:b/>
          <w:sz w:val="24"/>
        </w:rPr>
      </w:pPr>
    </w:p>
    <w:p w14:paraId="4B044FDF" w14:textId="77777777" w:rsidR="006C765E" w:rsidRDefault="006C765E" w:rsidP="00480FD9">
      <w:pPr>
        <w:spacing w:after="40"/>
        <w:rPr>
          <w:b/>
          <w:sz w:val="24"/>
        </w:rPr>
      </w:pPr>
    </w:p>
    <w:p w14:paraId="56DC6405" w14:textId="3BABDB2E" w:rsidR="00C8742C" w:rsidRDefault="00C8742C" w:rsidP="00480FD9">
      <w:pPr>
        <w:spacing w:after="40"/>
        <w:rPr>
          <w:b/>
          <w:sz w:val="24"/>
        </w:rPr>
      </w:pPr>
      <w:r>
        <w:rPr>
          <w:b/>
          <w:sz w:val="24"/>
        </w:rPr>
        <w:t>Goal of the Agency:</w:t>
      </w:r>
    </w:p>
    <w:p w14:paraId="40E60E24" w14:textId="11791CB0" w:rsidR="00C8742C" w:rsidRDefault="00C8742C" w:rsidP="00480FD9">
      <w:pPr>
        <w:spacing w:after="40"/>
        <w:rPr>
          <w:bCs/>
          <w:sz w:val="24"/>
        </w:rPr>
      </w:pPr>
      <w:r w:rsidRPr="00C8742C">
        <w:rPr>
          <w:bCs/>
          <w:sz w:val="24"/>
        </w:rPr>
        <w:t>The goal of the agency is to ensure that all residents understand and exercise their right to be free from any sexual abuse or harassment</w:t>
      </w:r>
      <w:r>
        <w:rPr>
          <w:bCs/>
          <w:sz w:val="24"/>
        </w:rPr>
        <w:t xml:space="preserve"> from other residents, contractors, volunteers, and staff.</w:t>
      </w:r>
    </w:p>
    <w:p w14:paraId="4A3CDEAE" w14:textId="3CF92C65" w:rsidR="00C8742C" w:rsidRDefault="00C8742C" w:rsidP="00480FD9">
      <w:pPr>
        <w:spacing w:after="40"/>
        <w:rPr>
          <w:bCs/>
          <w:sz w:val="24"/>
        </w:rPr>
      </w:pPr>
      <w:r>
        <w:rPr>
          <w:bCs/>
          <w:sz w:val="24"/>
        </w:rPr>
        <w:t>The agency will continue to review daily practices and policy to ensure best practices in compliance with National PREA policies. A culture free from sexual abuse and harassment.</w:t>
      </w:r>
    </w:p>
    <w:p w14:paraId="3F0010BB" w14:textId="78E943DC" w:rsidR="006C765E" w:rsidRPr="00C8742C" w:rsidRDefault="006C765E" w:rsidP="00480FD9">
      <w:pPr>
        <w:spacing w:after="40"/>
        <w:rPr>
          <w:bCs/>
          <w:sz w:val="24"/>
        </w:rPr>
      </w:pPr>
      <w:r>
        <w:rPr>
          <w:bCs/>
          <w:sz w:val="24"/>
        </w:rPr>
        <w:t>The agency and staff are committed to a zero-tolerance policy for sexual abuse or harassment.</w:t>
      </w:r>
    </w:p>
    <w:sectPr w:rsidR="006C765E" w:rsidRPr="00C8742C" w:rsidSect="00EE5F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6A5B" w14:textId="77777777" w:rsidR="00CE3F8D" w:rsidRDefault="00CE3F8D" w:rsidP="0012203B">
      <w:r>
        <w:separator/>
      </w:r>
    </w:p>
  </w:endnote>
  <w:endnote w:type="continuationSeparator" w:id="0">
    <w:p w14:paraId="2FC3D5A3" w14:textId="77777777" w:rsidR="00CE3F8D" w:rsidRDefault="00CE3F8D" w:rsidP="0012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B965" w14:textId="77777777" w:rsidR="00CE3F8D" w:rsidRDefault="00CE3F8D" w:rsidP="0012203B">
      <w:r>
        <w:separator/>
      </w:r>
    </w:p>
  </w:footnote>
  <w:footnote w:type="continuationSeparator" w:id="0">
    <w:p w14:paraId="5C1C9B8D" w14:textId="77777777" w:rsidR="00CE3F8D" w:rsidRDefault="00CE3F8D" w:rsidP="0012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EDC2" w14:textId="0A10285B" w:rsidR="0012203B" w:rsidRPr="00781B8B" w:rsidRDefault="0012203B" w:rsidP="0012203B">
    <w:pPr>
      <w:pStyle w:val="Heading1"/>
      <w:rPr>
        <w:caps/>
        <w:color w:val="538135"/>
        <w:sz w:val="22"/>
      </w:rPr>
    </w:pPr>
    <w:r>
      <w:rPr>
        <w:b w:val="0"/>
        <w:caps/>
        <w:noProof/>
        <w:sz w:val="22"/>
        <w:lang w:eastAsia="en-US"/>
      </w:rPr>
      <w:drawing>
        <wp:anchor distT="0" distB="0" distL="114300" distR="114300" simplePos="0" relativeHeight="251660288" behindDoc="0" locked="0" layoutInCell="1" allowOverlap="1" wp14:anchorId="10522C77" wp14:editId="1E78598D">
          <wp:simplePos x="0" y="0"/>
          <wp:positionH relativeFrom="margin">
            <wp:posOffset>-190500</wp:posOffset>
          </wp:positionH>
          <wp:positionV relativeFrom="paragraph">
            <wp:posOffset>0</wp:posOffset>
          </wp:positionV>
          <wp:extent cx="1833880" cy="878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878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B8B">
      <w:rPr>
        <w:rFonts w:ascii="Book Antiqua" w:hAnsi="Book Antiqua" w:cs="Book Antiqua"/>
        <w:smallCaps/>
        <w:color w:val="538135"/>
        <w:spacing w:val="0"/>
        <w:sz w:val="36"/>
      </w:rPr>
      <w:t xml:space="preserve">Plainview Serenity Center, Inc. </w:t>
    </w:r>
  </w:p>
  <w:p w14:paraId="501711FA" w14:textId="77777777" w:rsidR="0012203B" w:rsidRPr="00781B8B" w:rsidRDefault="0012203B" w:rsidP="0012203B">
    <w:pPr>
      <w:tabs>
        <w:tab w:val="left" w:pos="6510"/>
      </w:tabs>
      <w:ind w:right="-720" w:firstLine="720"/>
      <w:rPr>
        <w:b/>
        <w:caps/>
        <w:color w:val="538135"/>
        <w:sz w:val="22"/>
      </w:rPr>
    </w:pPr>
    <w:r>
      <w:rPr>
        <w:b/>
        <w:caps/>
        <w:sz w:val="22"/>
      </w:rPr>
      <w:tab/>
    </w:r>
  </w:p>
  <w:p w14:paraId="2019903E" w14:textId="01A09C32" w:rsidR="0012203B" w:rsidRPr="0087286A" w:rsidRDefault="0012203B" w:rsidP="0012203B">
    <w:pPr>
      <w:pStyle w:val="BodyText"/>
      <w:ind w:left="6480"/>
      <w:jc w:val="left"/>
      <w:rPr>
        <w:rFonts w:ascii="Garamond" w:hAnsi="Garamond" w:cs="Book Antiqua"/>
        <w:color w:val="538135"/>
        <w:sz w:val="24"/>
        <w:szCs w:val="24"/>
      </w:rPr>
    </w:pPr>
    <w:r w:rsidRPr="00781B8B">
      <w:rPr>
        <w:noProof/>
        <w:color w:val="538135"/>
        <w:highlight w:val="darkGreen"/>
      </w:rPr>
      <mc:AlternateContent>
        <mc:Choice Requires="wps">
          <w:drawing>
            <wp:anchor distT="0" distB="0" distL="114300" distR="114300" simplePos="0" relativeHeight="251659264" behindDoc="0" locked="0" layoutInCell="1" allowOverlap="1" wp14:anchorId="3B80926B" wp14:editId="422C3742">
              <wp:simplePos x="0" y="0"/>
              <wp:positionH relativeFrom="column">
                <wp:posOffset>1543050</wp:posOffset>
              </wp:positionH>
              <wp:positionV relativeFrom="paragraph">
                <wp:posOffset>81915</wp:posOffset>
              </wp:positionV>
              <wp:extent cx="2933700" cy="28575"/>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28575"/>
                      </a:xfrm>
                      <a:prstGeom prst="line">
                        <a:avLst/>
                      </a:prstGeom>
                      <a:noFill/>
                      <a:ln w="38100" cap="sq">
                        <a:solidFill>
                          <a:srgbClr val="F2F2F2"/>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93E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45pt" to="35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" strokecolor="#f2f2f2" strokeweight="3pt">
              <v:stroke joinstyle="miter" endcap="square"/>
              <v:shadow color="#7f7f7f" opacity=".5" offset="1pt"/>
            </v:line>
          </w:pict>
        </mc:Fallback>
      </mc:AlternateContent>
    </w:r>
    <w:r w:rsidRPr="00781B8B">
      <w:rPr>
        <w:b w:val="0"/>
        <w:color w:val="538135"/>
        <w:sz w:val="20"/>
      </w:rPr>
      <w:t xml:space="preserve">       </w:t>
    </w:r>
    <w:r w:rsidR="0087286A">
      <w:rPr>
        <w:b w:val="0"/>
        <w:color w:val="538135"/>
        <w:sz w:val="20"/>
      </w:rPr>
      <w:t xml:space="preserve">           </w:t>
    </w:r>
    <w:r w:rsidR="0087286A" w:rsidRPr="0087286A">
      <w:rPr>
        <w:rFonts w:ascii="Garamond" w:hAnsi="Garamond"/>
        <w:bCs/>
        <w:color w:val="538135"/>
        <w:sz w:val="24"/>
        <w:szCs w:val="24"/>
      </w:rPr>
      <w:t>Dr.</w:t>
    </w:r>
    <w:r w:rsidR="0087286A" w:rsidRPr="0087286A">
      <w:rPr>
        <w:rFonts w:ascii="Garamond" w:hAnsi="Garamond"/>
        <w:b w:val="0"/>
        <w:color w:val="538135"/>
        <w:sz w:val="24"/>
        <w:szCs w:val="24"/>
      </w:rPr>
      <w:t xml:space="preserve"> </w:t>
    </w:r>
    <w:r w:rsidRPr="0087286A">
      <w:rPr>
        <w:rFonts w:ascii="Garamond" w:hAnsi="Garamond" w:cs="Book Antiqua"/>
        <w:color w:val="538135"/>
        <w:sz w:val="24"/>
        <w:szCs w:val="24"/>
      </w:rPr>
      <w:t xml:space="preserve">Paul Walker </w:t>
    </w:r>
  </w:p>
  <w:p w14:paraId="0FBF6DFF" w14:textId="58D606A9" w:rsidR="0012203B" w:rsidRPr="00781B8B" w:rsidRDefault="0087286A" w:rsidP="0087286A">
    <w:pPr>
      <w:ind w:left="6480"/>
      <w:rPr>
        <w:rFonts w:ascii="Book Antiqua" w:hAnsi="Book Antiqua" w:cs="Book Antiqua"/>
        <w:color w:val="538135"/>
        <w:sz w:val="22"/>
      </w:rPr>
    </w:pPr>
    <w:r>
      <w:rPr>
        <w:rFonts w:ascii="Garamond" w:hAnsi="Garamond" w:cs="Book Antiqua"/>
        <w:b/>
        <w:color w:val="538135"/>
        <w:sz w:val="24"/>
        <w:szCs w:val="24"/>
      </w:rPr>
      <w:t xml:space="preserve">    </w:t>
    </w:r>
    <w:r w:rsidR="0012203B" w:rsidRPr="0087286A">
      <w:rPr>
        <w:rFonts w:ascii="Garamond" w:hAnsi="Garamond" w:cs="Book Antiqua"/>
        <w:b/>
        <w:color w:val="538135"/>
        <w:sz w:val="24"/>
        <w:szCs w:val="24"/>
      </w:rPr>
      <w:t xml:space="preserve">   Chief Executive Officer</w:t>
    </w:r>
    <w:r w:rsidR="0012203B" w:rsidRPr="00781B8B">
      <w:rPr>
        <w:rFonts w:ascii="Book Antiqua" w:hAnsi="Book Antiqua" w:cs="Book Antiqua"/>
        <w:b/>
        <w:color w:val="538135"/>
        <w:sz w:val="18"/>
      </w:rPr>
      <w:t xml:space="preserve"> </w:t>
    </w:r>
  </w:p>
  <w:p w14:paraId="6E025EFB" w14:textId="77777777" w:rsidR="0012203B" w:rsidRDefault="0012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DD5BC5"/>
    <w:multiLevelType w:val="hybridMultilevel"/>
    <w:tmpl w:val="7722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B5E19"/>
    <w:multiLevelType w:val="hybridMultilevel"/>
    <w:tmpl w:val="B642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543E1"/>
    <w:multiLevelType w:val="hybridMultilevel"/>
    <w:tmpl w:val="1D70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2236B"/>
    <w:multiLevelType w:val="hybridMultilevel"/>
    <w:tmpl w:val="37D0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864BA"/>
    <w:multiLevelType w:val="hybridMultilevel"/>
    <w:tmpl w:val="D7EE5874"/>
    <w:lvl w:ilvl="0" w:tplc="B53C5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184917">
    <w:abstractNumId w:val="0"/>
  </w:num>
  <w:num w:numId="2" w16cid:durableId="700402029">
    <w:abstractNumId w:val="4"/>
  </w:num>
  <w:num w:numId="3" w16cid:durableId="223369319">
    <w:abstractNumId w:val="1"/>
  </w:num>
  <w:num w:numId="4" w16cid:durableId="1637755344">
    <w:abstractNumId w:val="2"/>
  </w:num>
  <w:num w:numId="5" w16cid:durableId="1889298599">
    <w:abstractNumId w:val="3"/>
  </w:num>
  <w:num w:numId="6" w16cid:durableId="756369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0sLQ0MDc1MDM0MjVT0lEKTi0uzszPAykwqQUA6wMFTCwAAAA="/>
  </w:docVars>
  <w:rsids>
    <w:rsidRoot w:val="0012203B"/>
    <w:rsid w:val="000073F0"/>
    <w:rsid w:val="00013046"/>
    <w:rsid w:val="000637E9"/>
    <w:rsid w:val="00080DB0"/>
    <w:rsid w:val="00094015"/>
    <w:rsid w:val="000B07DD"/>
    <w:rsid w:val="000C2295"/>
    <w:rsid w:val="001138C0"/>
    <w:rsid w:val="0012203B"/>
    <w:rsid w:val="001256A3"/>
    <w:rsid w:val="00134219"/>
    <w:rsid w:val="00140A1D"/>
    <w:rsid w:val="00150907"/>
    <w:rsid w:val="00153761"/>
    <w:rsid w:val="0015614E"/>
    <w:rsid w:val="001766AE"/>
    <w:rsid w:val="00184FDD"/>
    <w:rsid w:val="001D7441"/>
    <w:rsid w:val="001F639C"/>
    <w:rsid w:val="00202B6B"/>
    <w:rsid w:val="00207C18"/>
    <w:rsid w:val="0022213A"/>
    <w:rsid w:val="002841CE"/>
    <w:rsid w:val="00285095"/>
    <w:rsid w:val="002C116E"/>
    <w:rsid w:val="002C2608"/>
    <w:rsid w:val="002C422F"/>
    <w:rsid w:val="002F18FC"/>
    <w:rsid w:val="0030122B"/>
    <w:rsid w:val="00304B64"/>
    <w:rsid w:val="003071CA"/>
    <w:rsid w:val="00341D78"/>
    <w:rsid w:val="00361C8F"/>
    <w:rsid w:val="003A2D1B"/>
    <w:rsid w:val="003B05E8"/>
    <w:rsid w:val="003B0E26"/>
    <w:rsid w:val="00412A7D"/>
    <w:rsid w:val="00443FC8"/>
    <w:rsid w:val="00473E9A"/>
    <w:rsid w:val="00480FD9"/>
    <w:rsid w:val="004C16BB"/>
    <w:rsid w:val="004D1719"/>
    <w:rsid w:val="004D4B23"/>
    <w:rsid w:val="004E4EE9"/>
    <w:rsid w:val="00517472"/>
    <w:rsid w:val="0056134A"/>
    <w:rsid w:val="00577212"/>
    <w:rsid w:val="005776C8"/>
    <w:rsid w:val="005A47E8"/>
    <w:rsid w:val="005E320E"/>
    <w:rsid w:val="00644E34"/>
    <w:rsid w:val="0068398E"/>
    <w:rsid w:val="00690A86"/>
    <w:rsid w:val="00694C7D"/>
    <w:rsid w:val="006C765E"/>
    <w:rsid w:val="006D3B31"/>
    <w:rsid w:val="006F49E5"/>
    <w:rsid w:val="006F5D6C"/>
    <w:rsid w:val="0070658C"/>
    <w:rsid w:val="00715870"/>
    <w:rsid w:val="0072666A"/>
    <w:rsid w:val="00737C1F"/>
    <w:rsid w:val="007E6CDF"/>
    <w:rsid w:val="00802F01"/>
    <w:rsid w:val="0087286A"/>
    <w:rsid w:val="008F721F"/>
    <w:rsid w:val="00902FF7"/>
    <w:rsid w:val="00921C43"/>
    <w:rsid w:val="00963849"/>
    <w:rsid w:val="00964F8B"/>
    <w:rsid w:val="00966C30"/>
    <w:rsid w:val="009D1770"/>
    <w:rsid w:val="00A21740"/>
    <w:rsid w:val="00A27EF0"/>
    <w:rsid w:val="00A57AEF"/>
    <w:rsid w:val="00A8479C"/>
    <w:rsid w:val="00B00374"/>
    <w:rsid w:val="00B11EC7"/>
    <w:rsid w:val="00B27F1F"/>
    <w:rsid w:val="00B51E39"/>
    <w:rsid w:val="00B54181"/>
    <w:rsid w:val="00B57ACB"/>
    <w:rsid w:val="00B745F5"/>
    <w:rsid w:val="00B92DFE"/>
    <w:rsid w:val="00B9625E"/>
    <w:rsid w:val="00BA5F92"/>
    <w:rsid w:val="00BB39AE"/>
    <w:rsid w:val="00BC1B9C"/>
    <w:rsid w:val="00BE57F2"/>
    <w:rsid w:val="00C00B6B"/>
    <w:rsid w:val="00C12F42"/>
    <w:rsid w:val="00C85E7F"/>
    <w:rsid w:val="00C8742C"/>
    <w:rsid w:val="00C97824"/>
    <w:rsid w:val="00CC1782"/>
    <w:rsid w:val="00CE3F8D"/>
    <w:rsid w:val="00D1010D"/>
    <w:rsid w:val="00D245E4"/>
    <w:rsid w:val="00D73209"/>
    <w:rsid w:val="00D7697E"/>
    <w:rsid w:val="00DA0D2C"/>
    <w:rsid w:val="00DA1F2B"/>
    <w:rsid w:val="00DA7255"/>
    <w:rsid w:val="00DE4A7B"/>
    <w:rsid w:val="00DF7860"/>
    <w:rsid w:val="00E61081"/>
    <w:rsid w:val="00E86ABF"/>
    <w:rsid w:val="00E90108"/>
    <w:rsid w:val="00EA4749"/>
    <w:rsid w:val="00EA519B"/>
    <w:rsid w:val="00EC221B"/>
    <w:rsid w:val="00EE5F6F"/>
    <w:rsid w:val="00EF7648"/>
    <w:rsid w:val="00F002AF"/>
    <w:rsid w:val="00F436C3"/>
    <w:rsid w:val="00F43E41"/>
    <w:rsid w:val="00F51E07"/>
    <w:rsid w:val="00F53962"/>
    <w:rsid w:val="00F53B97"/>
    <w:rsid w:val="00F65836"/>
    <w:rsid w:val="00F76949"/>
    <w:rsid w:val="00FA043A"/>
    <w:rsid w:val="00FB704C"/>
    <w:rsid w:val="00FB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46815"/>
  <w15:chartTrackingRefBased/>
  <w15:docId w15:val="{53354068-DE5A-41F9-8931-AFE38BD9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2203B"/>
    <w:pPr>
      <w:keepNext/>
      <w:numPr>
        <w:numId w:val="1"/>
      </w:numPr>
      <w:suppressAutoHyphens/>
      <w:ind w:left="0" w:right="-720" w:firstLine="720"/>
      <w:jc w:val="center"/>
      <w:outlineLvl w:val="0"/>
    </w:pPr>
    <w:rPr>
      <w:rFonts w:ascii="Bodoni" w:hAnsi="Bodoni" w:cs="Bodoni"/>
      <w:b/>
      <w:spacing w:val="40"/>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03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2203B"/>
  </w:style>
  <w:style w:type="paragraph" w:styleId="Footer">
    <w:name w:val="footer"/>
    <w:basedOn w:val="Normal"/>
    <w:link w:val="FooterChar"/>
    <w:uiPriority w:val="99"/>
    <w:unhideWhenUsed/>
    <w:rsid w:val="0012203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2203B"/>
  </w:style>
  <w:style w:type="character" w:customStyle="1" w:styleId="Heading1Char">
    <w:name w:val="Heading 1 Char"/>
    <w:basedOn w:val="DefaultParagraphFont"/>
    <w:link w:val="Heading1"/>
    <w:rsid w:val="0012203B"/>
    <w:rPr>
      <w:rFonts w:ascii="Bodoni" w:eastAsia="Times New Roman" w:hAnsi="Bodoni" w:cs="Bodoni"/>
      <w:b/>
      <w:spacing w:val="40"/>
      <w:kern w:val="1"/>
      <w:sz w:val="32"/>
      <w:szCs w:val="20"/>
      <w:lang w:eastAsia="ar-SA"/>
    </w:rPr>
  </w:style>
  <w:style w:type="paragraph" w:styleId="BodyText">
    <w:name w:val="Body Text"/>
    <w:basedOn w:val="Normal"/>
    <w:link w:val="BodyTextChar"/>
    <w:rsid w:val="0012203B"/>
    <w:pPr>
      <w:suppressAutoHyphens/>
      <w:jc w:val="right"/>
    </w:pPr>
    <w:rPr>
      <w:b/>
      <w:kern w:val="1"/>
      <w:sz w:val="16"/>
      <w:lang w:eastAsia="ar-SA"/>
    </w:rPr>
  </w:style>
  <w:style w:type="character" w:customStyle="1" w:styleId="BodyTextChar">
    <w:name w:val="Body Text Char"/>
    <w:basedOn w:val="DefaultParagraphFont"/>
    <w:link w:val="BodyText"/>
    <w:rsid w:val="0012203B"/>
    <w:rPr>
      <w:rFonts w:ascii="Times New Roman" w:eastAsia="Times New Roman" w:hAnsi="Times New Roman" w:cs="Times New Roman"/>
      <w:b/>
      <w:kern w:val="1"/>
      <w:sz w:val="16"/>
      <w:szCs w:val="20"/>
      <w:lang w:eastAsia="ar-SA"/>
    </w:rPr>
  </w:style>
  <w:style w:type="character" w:styleId="Hyperlink">
    <w:name w:val="Hyperlink"/>
    <w:basedOn w:val="DefaultParagraphFont"/>
    <w:uiPriority w:val="99"/>
    <w:unhideWhenUsed/>
    <w:rsid w:val="00A27EF0"/>
    <w:rPr>
      <w:color w:val="0563C1" w:themeColor="hyperlink"/>
      <w:u w:val="single"/>
    </w:rPr>
  </w:style>
  <w:style w:type="character" w:styleId="UnresolvedMention">
    <w:name w:val="Unresolved Mention"/>
    <w:basedOn w:val="DefaultParagraphFont"/>
    <w:uiPriority w:val="99"/>
    <w:semiHidden/>
    <w:unhideWhenUsed/>
    <w:rsid w:val="00A27EF0"/>
    <w:rPr>
      <w:color w:val="605E5C"/>
      <w:shd w:val="clear" w:color="auto" w:fill="E1DFDD"/>
    </w:rPr>
  </w:style>
  <w:style w:type="paragraph" w:styleId="ListParagraph">
    <w:name w:val="List Paragraph"/>
    <w:basedOn w:val="Normal"/>
    <w:uiPriority w:val="34"/>
    <w:qFormat/>
    <w:rsid w:val="003A2D1B"/>
    <w:pPr>
      <w:ind w:left="720"/>
      <w:contextualSpacing/>
    </w:pPr>
  </w:style>
  <w:style w:type="table" w:styleId="TableGrid">
    <w:name w:val="Table Grid"/>
    <w:basedOn w:val="TableNormal"/>
    <w:uiPriority w:val="39"/>
    <w:rsid w:val="0000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9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renity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Arellano</dc:creator>
  <cp:keywords/>
  <dc:description/>
  <cp:lastModifiedBy>Paul Walker</cp:lastModifiedBy>
  <cp:revision>7</cp:revision>
  <cp:lastPrinted>2026-06-18T17:52:00Z</cp:lastPrinted>
  <dcterms:created xsi:type="dcterms:W3CDTF">2026-06-18T16:57:00Z</dcterms:created>
  <dcterms:modified xsi:type="dcterms:W3CDTF">2026-06-18T20:44:00Z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b1924379fb2679fe66338a264710d1618c3b2007f8fcdc0f6e9fe9b1387ac03b</vt:lpwstr>
  </property>
</Properties>
</file>